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sz w:val="28"/>
          <w:szCs w:val="28"/>
        </w:rPr>
        <w:t xml:space="preserve">Taj Khunkhun</w:t>
      </w:r>
    </w:p>
    <w:p>
      <w:pPr>
        <w:spacing w:after="20"/>
        <w:jc w:val="center"/>
      </w:pPr>
      <w:r>
        <w:rPr>
          <w:rFonts w:ascii="Calibri" w:cs="Calibri" w:eastAsia="Calibri" w:hAnsi="Calibri"/>
          <w:sz w:val="18"/>
          <w:szCs w:val="18"/>
        </w:rPr>
        <w:t xml:space="preserve">San Jose, California | +1 408 380 2726 | taj479505@gmail.com</w:t>
      </w:r>
    </w:p>
    <w:p>
      <w:pPr>
        <w:spacing w:after="60"/>
        <w:jc w:val="center"/>
      </w:pPr>
      <w:hyperlink w:history="1" r:id="rIdaoxmoecfyqgosnmsvcqty">
        <w:r>
          <w:rPr>
            <w:rStyle w:val="Hyperlink"/>
            <w:rFonts w:ascii="Calibri" w:cs="Calibri" w:eastAsia="Calibri" w:hAnsi="Calibri"/>
            <w:sz w:val="18"/>
            <w:szCs w:val="18"/>
          </w:rPr>
          <w:t xml:space="preserve">LinkedIn</w:t>
        </w:r>
      </w:hyperlink>
      <w:r>
        <w:rPr>
          <w:rFonts w:ascii="Calibri" w:cs="Calibri" w:eastAsia="Calibri" w:hAnsi="Calibri"/>
          <w:sz w:val="18"/>
          <w:szCs w:val="18"/>
        </w:rPr>
        <w:t xml:space="preserve">  |  </w:t>
      </w:r>
      <w:hyperlink w:history="1" r:id="rIdhimlfhdcrw7fwxxvxqurq">
        <w:r>
          <w:rPr>
            <w:rStyle w:val="Hyperlink"/>
            <w:rFonts w:ascii="Calibri" w:cs="Calibri" w:eastAsia="Calibri" w:hAnsi="Calibri"/>
            <w:sz w:val="18"/>
            <w:szCs w:val="18"/>
          </w:rPr>
          <w:t xml:space="preserve">Portfolio</w:t>
        </w:r>
      </w:hyperlink>
    </w:p>
    <w:p>
      <w:pPr>
        <w:pBdr>
          <w:bottom w:val="single" w:color="000000" w:sz="6" w:space="1"/>
        </w:pBdr>
        <w:spacing w:before="200" w:after="60"/>
      </w:pPr>
      <w:r>
        <w:rPr>
          <w:rFonts w:ascii="Calibri" w:cs="Calibri" w:eastAsia="Calibri" w:hAnsi="Calibri"/>
          <w:b/>
          <w:bCs/>
          <w:sz w:val="22"/>
          <w:szCs w:val="22"/>
        </w:rPr>
        <w:t xml:space="preserve">SUMMARY</w:t>
      </w:r>
    </w:p>
    <w:p>
      <w:pPr>
        <w:spacing w:before="60" w:after="60"/>
      </w:pPr>
      <w:r>
        <w:rPr>
          <w:rFonts w:ascii="Calibri" w:cs="Calibri" w:eastAsia="Calibri" w:hAnsi="Calibri"/>
          <w:sz w:val="20"/>
          <w:szCs w:val="20"/>
        </w:rPr>
        <w:t xml:space="preserve">Dedicated AI Engineer with 8+ years of experience in backend systems and 3+ years specializing in Agentic Workflows, Multi-Agent Orchestration, and Autonomous Reasoners. Expert at transforming experimental prototypes into production-grade agentic AI systems using LangGraph, CrewAI, AutoGen, and Model Context Protocol (MCP). Proven track record of solving the Agent Reliability Gap by architecting multi-agent systems with independent Verifier/Judge layers, MCP-based tool integration, and strict Pydantic-based tool-calling schemas. Deeply experienced in Agentic RAG, having moved beyond basic vector search to implement self-correcting retrieval loops that reduced hallucination rates by 40%. Passionate about building bounded autonomy — systems that reason through uncertainty but operate within deterministic guardrails like LangSmith, OpenTelemetry, and MCP server observability.</w:t>
      </w:r>
    </w:p>
    <w:p>
      <w:pPr>
        <w:spacing w:before="20" w:after="40"/>
      </w:pPr>
      <w:r>
        <w:rPr>
          <w:rFonts w:ascii="Calibri" w:cs="Calibri" w:eastAsia="Calibri" w:hAnsi="Calibri"/>
          <w:b/>
          <w:bCs/>
          <w:sz w:val="20"/>
          <w:szCs w:val="20"/>
        </w:rPr>
        <w:t xml:space="preserve">Industries: </w:t>
      </w:r>
      <w:r>
        <w:rPr>
          <w:rFonts w:ascii="Calibri" w:cs="Calibri" w:eastAsia="Calibri" w:hAnsi="Calibri"/>
          <w:b/>
          <w:bCs/>
          <w:sz w:val="20"/>
          <w:szCs w:val="20"/>
        </w:rPr>
        <w:t xml:space="preserve">LegalTech &amp; Regulatory AI</w:t>
      </w:r>
      <w:r>
        <w:rPr>
          <w:rFonts w:ascii="Calibri" w:cs="Calibri" w:eastAsia="Calibri" w:hAnsi="Calibri"/>
          <w:sz w:val="20"/>
          <w:szCs w:val="20"/>
        </w:rPr>
        <w:t xml:space="preserve"> (Lextar AI, Immigration Law) | </w:t>
      </w:r>
      <w:r>
        <w:rPr>
          <w:rFonts w:ascii="Calibri" w:cs="Calibri" w:eastAsia="Calibri" w:hAnsi="Calibri"/>
          <w:b/>
          <w:bCs/>
          <w:sz w:val="20"/>
          <w:szCs w:val="20"/>
        </w:rPr>
        <w:t xml:space="preserve">Enterprise AI &amp; Cloud Infrastructure</w:t>
      </w:r>
      <w:r>
        <w:rPr>
          <w:rFonts w:ascii="Calibri" w:cs="Calibri" w:eastAsia="Calibri" w:hAnsi="Calibri"/>
          <w:sz w:val="20"/>
          <w:szCs w:val="20"/>
        </w:rPr>
        <w:t xml:space="preserve"> (HPE Private Cloud AI, GreenLake, Ezmeral) | </w:t>
      </w:r>
      <w:r>
        <w:rPr>
          <w:rFonts w:ascii="Calibri" w:cs="Calibri" w:eastAsia="Calibri" w:hAnsi="Calibri"/>
          <w:b/>
          <w:bCs/>
          <w:sz w:val="20"/>
          <w:szCs w:val="20"/>
        </w:rPr>
        <w:t xml:space="preserve">Digital Marketing &amp; AdTech</w:t>
      </w:r>
      <w:r>
        <w:rPr>
          <w:rFonts w:ascii="Calibri" w:cs="Calibri" w:eastAsia="Calibri" w:hAnsi="Calibri"/>
          <w:sz w:val="20"/>
          <w:szCs w:val="20"/>
        </w:rPr>
        <w:t xml:space="preserve"> (Adobe Experience Platform, Sensei ML)</w:t>
      </w:r>
    </w:p>
    <w:p>
      <w:pPr>
        <w:pBdr>
          <w:bottom w:val="single" w:color="000000" w:sz="6" w:space="1"/>
        </w:pBdr>
        <w:spacing w:before="200" w:after="60"/>
      </w:pPr>
      <w:r>
        <w:rPr>
          <w:rFonts w:ascii="Calibri" w:cs="Calibri" w:eastAsia="Calibri" w:hAnsi="Calibri"/>
          <w:b/>
          <w:bCs/>
          <w:sz w:val="22"/>
          <w:szCs w:val="22"/>
        </w:rPr>
        <w:t xml:space="preserve">SKILLS</w:t>
      </w:r>
    </w:p>
    <w:p>
      <w:pPr>
        <w:spacing w:before="60" w:after="20"/>
      </w:pPr>
      <w:r>
        <w:rPr>
          <w:rFonts w:ascii="Calibri" w:cs="Calibri" w:eastAsia="Calibri" w:hAnsi="Calibri"/>
          <w:b/>
          <w:bCs/>
          <w:sz w:val="20"/>
          <w:szCs w:val="20"/>
        </w:rPr>
        <w:t xml:space="preserve">Technical Skills: </w:t>
      </w:r>
      <w:r>
        <w:rPr>
          <w:rFonts w:ascii="Calibri" w:cs="Calibri" w:eastAsia="Calibri" w:hAnsi="Calibri"/>
          <w:sz w:val="20"/>
          <w:szCs w:val="20"/>
        </w:rPr>
        <w:t xml:space="preserve">LangChain, LangGraph, CrewAI, AutoGen, AutoGPT, Model Context Protocol (MCP), MCP Servers &amp; Clients, Agentic AI, Multi-Agent Orchestration, RAG, Agentic RAG, GraphRAG, LoRA, LangSmith, Python, Golang, JavaScript, TypeScript, Snowflake, Databricks, Spark, Kafka, Airflow, BigQuery, Neo4j, Django, FastAPI, Flask, Node.js, Next.js, React, Angular, PyTorch, TensorFlow, NLP, Kubernetes, Terraform, AWS, Azure, GCP, MLOps, LLMOps, PyTest, Reinforcement Learning (RL), Neural Networks, Prompt Engineering, Microsoft Fabric, Copilot Studio, Fabric Lakehouse, Fabric Warehouse, Cognitive Search, BI datasets, data stewardship, Azure Data Lake, spaCy, Keras, scikit-learn, telemetry, ChromaDB, Pinecone, PostgreSQL, SQLAlchemy, Stripe, Clerk, Alembic, Gunicorn, Uvicorn, SSE, DeepSeek</w:t>
      </w:r>
    </w:p>
    <w:p>
      <w:pPr>
        <w:spacing w:before="20" w:after="20"/>
      </w:pPr>
      <w:r>
        <w:rPr>
          <w:rFonts w:ascii="Calibri" w:cs="Calibri" w:eastAsia="Calibri" w:hAnsi="Calibri"/>
          <w:b/>
          <w:bCs/>
          <w:sz w:val="20"/>
          <w:szCs w:val="20"/>
        </w:rPr>
        <w:t xml:space="preserve">Soft Skills: </w:t>
      </w:r>
      <w:r>
        <w:rPr>
          <w:rFonts w:ascii="Calibri" w:cs="Calibri" w:eastAsia="Calibri" w:hAnsi="Calibri"/>
          <w:sz w:val="20"/>
          <w:szCs w:val="20"/>
        </w:rPr>
        <w:t xml:space="preserve">Collaboration, Problem-solving, Communication, Time management, Result-oriented</w:t>
      </w:r>
    </w:p>
    <w:p>
      <w:pPr>
        <w:spacing w:before="20" w:after="40"/>
      </w:pPr>
      <w:r>
        <w:rPr>
          <w:rFonts w:ascii="Calibri" w:cs="Calibri" w:eastAsia="Calibri" w:hAnsi="Calibri"/>
          <w:b/>
          <w:bCs/>
          <w:sz w:val="20"/>
          <w:szCs w:val="20"/>
        </w:rPr>
        <w:t xml:space="preserve">Languages: </w:t>
      </w:r>
      <w:r>
        <w:rPr>
          <w:rFonts w:ascii="Calibri" w:cs="Calibri" w:eastAsia="Calibri" w:hAnsi="Calibri"/>
          <w:sz w:val="20"/>
          <w:szCs w:val="20"/>
        </w:rPr>
        <w:t xml:space="preserve">English</w:t>
      </w:r>
    </w:p>
    <w:p>
      <w:pPr>
        <w:pBdr>
          <w:bottom w:val="single" w:color="000000" w:sz="6" w:space="1"/>
        </w:pBdr>
        <w:spacing w:before="200" w:after="60"/>
      </w:pPr>
      <w:r>
        <w:rPr>
          <w:rFonts w:ascii="Calibri" w:cs="Calibri" w:eastAsia="Calibri" w:hAnsi="Calibri"/>
          <w:b/>
          <w:bCs/>
          <w:sz w:val="22"/>
          <w:szCs w:val="22"/>
        </w:rPr>
        <w:t xml:space="preserve">EXPERIENCE</w:t>
      </w:r>
    </w:p>
    <w:p>
      <w:pPr>
        <w:tabs>
          <w:tab w:val="right" w:pos="9026"/>
        </w:tabs>
        <w:spacing w:before="120" w:after="0"/>
      </w:pPr>
      <w:r>
        <w:rPr>
          <w:rFonts w:ascii="Calibri" w:cs="Calibri" w:eastAsia="Calibri" w:hAnsi="Calibri"/>
          <w:b/>
          <w:bCs/>
          <w:sz w:val="20"/>
          <w:szCs w:val="20"/>
        </w:rPr>
        <w:t xml:space="preserve">Founding AI Engineer</w:t>
      </w:r>
      <w:r>
        <w:rPr>
          <w:rFonts w:ascii="Calibri" w:cs="Calibri" w:eastAsia="Calibri" w:hAnsi="Calibri"/>
          <w:sz w:val="20"/>
          <w:szCs w:val="20"/>
        </w:rPr>
        <w:t xml:space="preserve"> | </w:t>
      </w:r>
      <w:r>
        <w:rPr>
          <w:rFonts w:ascii="Calibri" w:cs="Calibri" w:eastAsia="Calibri" w:hAnsi="Calibri"/>
          <w:b/>
          <w:bCs/>
          <w:sz w:val="20"/>
          <w:szCs w:val="20"/>
        </w:rPr>
        <w:t xml:space="preserve">Lextar AI Legal Solutions, Inc.</w:t>
      </w:r>
      <w:r>
        <w:rPr>
          <w:rFonts w:ascii="Calibri" w:cs="Calibri" w:eastAsia="Calibri" w:hAnsi="Calibri"/>
          <w:sz w:val="20"/>
          <w:szCs w:val="20"/>
        </w:rPr>
        <w:t xml:space="preserve">, Remote</w:t>
      </w:r>
      <w:r>
        <w:rPr>
          <w:rFonts w:ascii="Calibri" w:cs="Calibri" w:eastAsia="Calibri" w:hAnsi="Calibri"/>
          <w:sz w:val="20"/>
          <w:szCs w:val="20"/>
        </w:rPr>
        <w:t xml:space="preserve">	Jan 2026 – Present</w:t>
      </w:r>
    </w:p>
    <w:p>
      <w:pPr>
        <w:spacing w:before="40" w:after="20"/>
      </w:pPr>
      <w:r>
        <w:rPr>
          <w:rFonts w:ascii="Calibri" w:cs="Calibri" w:eastAsia="Calibri" w:hAnsi="Calibri"/>
          <w:b/>
          <w:bCs/>
          <w:i/>
          <w:iCs/>
          <w:sz w:val="20"/>
          <w:szCs w:val="20"/>
        </w:rPr>
        <w:t xml:space="preserve">Lextar AI – Governance-Grade Legal Reasoning Platform for Canadian &amp; US Immigration Law</w:t>
      </w:r>
    </w:p>
    <w:p>
      <w:pPr>
        <w:pStyle w:val="ListParagraph"/>
        <w:numPr>
          <w:ilvl w:val="0"/>
          <w:numId w:val="2"/>
        </w:numPr>
        <w:spacing w:before="20" w:after="20"/>
      </w:pPr>
      <w:r>
        <w:rPr>
          <w:rFonts w:ascii="Calibri" w:cs="Calibri" w:eastAsia="Calibri" w:hAnsi="Calibri"/>
          <w:sz w:val="20"/>
          <w:szCs w:val="20"/>
        </w:rPr>
        <w:t xml:space="preserve">Architected and developed Lextar AI, a full-stack enterprise legal AI platform for Canadian and US immigration law, using FastAPI (async Python), Next.js 16 (React/TypeScript), PostgreSQL with SQLAlchemy ORM, and ChromaDB vector database for hybrid retrieval-augmented generation (RAG).</w:t>
      </w:r>
    </w:p>
    <w:p>
      <w:pPr>
        <w:pStyle w:val="ListParagraph"/>
        <w:numPr>
          <w:ilvl w:val="0"/>
          <w:numId w:val="2"/>
        </w:numPr>
        <w:spacing w:before="20" w:after="20"/>
      </w:pPr>
      <w:r>
        <w:rPr>
          <w:rFonts w:ascii="Calibri" w:cs="Calibri" w:eastAsia="Calibri" w:hAnsi="Calibri"/>
          <w:sz w:val="20"/>
          <w:szCs w:val="20"/>
        </w:rPr>
        <w:t xml:space="preserve">Engineered an 11-step lawyer-faithful reasoning pipeline integrating DeepSeek LLM inference, hierarchical issue framing, rule hierarchy analysis, conflict resolution, cascading legal reasoning, and strict grounding verification to produce court-ready legal opinions with confidence scoring.</w:t>
      </w:r>
    </w:p>
    <w:p>
      <w:pPr>
        <w:pStyle w:val="ListParagraph"/>
        <w:numPr>
          <w:ilvl w:val="0"/>
          <w:numId w:val="2"/>
        </w:numPr>
        <w:spacing w:before="20" w:after="20"/>
      </w:pPr>
      <w:r>
        <w:rPr>
          <w:rFonts w:ascii="Calibri" w:cs="Calibri" w:eastAsia="Calibri" w:hAnsi="Calibri"/>
          <w:sz w:val="20"/>
          <w:szCs w:val="20"/>
        </w:rPr>
        <w:t xml:space="preserve">Built a hybrid GraphRAG retrieval system combining ChromaDB vector search (BGE embeddings) with an in-memory knowledge graph (1,300+ legal nodes, 445 relationships) seeded from IRPA, IRPR, IAD Rules, and INA/CFR statutes, achieving source-balanced document retrieval across 6,200+ ingested chunks.</w:t>
      </w:r>
    </w:p>
    <w:p>
      <w:pPr>
        <w:pStyle w:val="ListParagraph"/>
        <w:numPr>
          <w:ilvl w:val="0"/>
          <w:numId w:val="2"/>
        </w:numPr>
        <w:spacing w:before="20" w:after="20"/>
      </w:pPr>
      <w:r>
        <w:rPr>
          <w:rFonts w:ascii="Calibri" w:cs="Calibri" w:eastAsia="Calibri" w:hAnsi="Calibri"/>
          <w:sz w:val="20"/>
          <w:szCs w:val="20"/>
        </w:rPr>
        <w:t xml:space="preserve">Implemented a multi-tenant SaaS platform with Clerk authentication, role-based access control (superadmin/partner/associate), Stripe one-time checkout integration, PDF invoice generation, and automated SMTP email receipts with seller/buyer details.</w:t>
      </w:r>
    </w:p>
    <w:p>
      <w:pPr>
        <w:pStyle w:val="ListParagraph"/>
        <w:numPr>
          <w:ilvl w:val="0"/>
          <w:numId w:val="2"/>
        </w:numPr>
        <w:spacing w:before="20" w:after="20"/>
      </w:pPr>
      <w:r>
        <w:rPr>
          <w:rFonts w:ascii="Calibri" w:cs="Calibri" w:eastAsia="Calibri" w:hAnsi="Calibri"/>
          <w:sz w:val="20"/>
          <w:szCs w:val="20"/>
        </w:rPr>
        <w:t xml:space="preserve">Designed and deployed a superadmin dashboard featuring platform-wide analytics — user management with suspend/activate/role-change/adjudicator-access controls, per-organization usage tracking, subscriber billing overview, and real-time reasoning unit consumption monitoring with visual progress indicators.</w:t>
      </w:r>
    </w:p>
    <w:p>
      <w:pPr>
        <w:pStyle w:val="ListParagraph"/>
        <w:numPr>
          <w:ilvl w:val="0"/>
          <w:numId w:val="2"/>
        </w:numPr>
        <w:spacing w:before="20" w:after="20"/>
      </w:pPr>
      <w:r>
        <w:rPr>
          <w:rFonts w:ascii="Calibri" w:cs="Calibri" w:eastAsia="Calibri" w:hAnsi="Calibri"/>
          <w:sz w:val="20"/>
          <w:szCs w:val="20"/>
        </w:rPr>
        <w:t xml:space="preserve">Developed a document ingestion pipeline supporting LX-tagged XML, IAD JSON, and US federal legal corpus formats (INA, CFR, BIA Decisions, USCIS Policy Manual), with metadata-enriched chunking, per-source balanced retrieval, and jurisdiction-aware filtering for cross-border legal analysis.</w:t>
      </w:r>
    </w:p>
    <w:p>
      <w:pPr>
        <w:pStyle w:val="ListParagraph"/>
        <w:numPr>
          <w:ilvl w:val="0"/>
          <w:numId w:val="2"/>
        </w:numPr>
        <w:spacing w:before="20" w:after="20"/>
      </w:pPr>
      <w:r>
        <w:rPr>
          <w:rFonts w:ascii="Calibri" w:cs="Calibri" w:eastAsia="Calibri" w:hAnsi="Calibri"/>
          <w:sz w:val="20"/>
          <w:szCs w:val="20"/>
        </w:rPr>
        <w:t xml:space="preserve">Built a real-time streaming legal analysis workspace with Server-Sent Events (SSE), live reasoning trace visualization (thought stream with phase tracking), dual-pane case intake/output UI, and role-specific output formatting (submission letters, client advisories, tribunal decisions, court decisions).</w:t>
      </w:r>
    </w:p>
    <w:p>
      <w:pPr>
        <w:pStyle w:val="ListParagraph"/>
        <w:numPr>
          <w:ilvl w:val="0"/>
          <w:numId w:val="2"/>
        </w:numPr>
        <w:spacing w:before="20" w:after="20"/>
      </w:pPr>
      <w:r>
        <w:rPr>
          <w:rFonts w:ascii="Calibri" w:cs="Calibri" w:eastAsia="Calibri" w:hAnsi="Calibri"/>
          <w:sz w:val="20"/>
          <w:szCs w:val="20"/>
        </w:rPr>
        <w:t xml:space="preserve">Implemented strict legal output governance including grounding verification (claim-by-claim source validation), cross-reference resolution, tone enforcement, document genre guards (preventing cross-contamination between submission/advisory/decision formats), and confidence-weighted scoring across retrieval, reasoning, and alignment dimensions.</w:t>
      </w:r>
    </w:p>
    <w:p>
      <w:pPr>
        <w:pStyle w:val="ListParagraph"/>
        <w:numPr>
          <w:ilvl w:val="0"/>
          <w:numId w:val="2"/>
        </w:numPr>
        <w:spacing w:before="20" w:after="20"/>
      </w:pPr>
      <w:r>
        <w:rPr>
          <w:rFonts w:ascii="Calibri" w:cs="Calibri" w:eastAsia="Calibri" w:hAnsi="Calibri"/>
          <w:sz w:val="20"/>
          <w:szCs w:val="20"/>
        </w:rPr>
        <w:t xml:space="preserve">Engineered a CMS-driven public website with dynamic pricing tiers (market-specific CAD/USD), geo-detected region routing, Stripe Checkout with price verification guards, contact inquiry management with payment link workflows, and content management for landing page sections — all deployed on Vercel with API proxying to the backend.</w:t>
      </w:r>
    </w:p>
    <w:p>
      <w:pPr>
        <w:pStyle w:val="ListParagraph"/>
        <w:numPr>
          <w:ilvl w:val="0"/>
          <w:numId w:val="2"/>
        </w:numPr>
        <w:spacing w:before="20" w:after="20"/>
      </w:pPr>
      <w:r>
        <w:rPr>
          <w:rFonts w:ascii="Calibri" w:cs="Calibri" w:eastAsia="Calibri" w:hAnsi="Calibri"/>
          <w:sz w:val="20"/>
          <w:szCs w:val="20"/>
        </w:rPr>
        <w:t xml:space="preserve">Managed end-to-end DevOps including Gunicorn/Uvicorn multi-worker deployment, Alembic database migrations, ChromaDB persistence and re-ingestion tooling, Vercel CI/CD production deployments, and structured logging with audit trails for compliance-sensitive legal operations.</w:t>
      </w:r>
    </w:p>
    <w:p>
      <w:pPr>
        <w:tabs>
          <w:tab w:val="right" w:pos="9026"/>
        </w:tabs>
        <w:spacing w:before="120" w:after="0"/>
      </w:pPr>
      <w:r>
        <w:rPr>
          <w:rFonts w:ascii="Calibri" w:cs="Calibri" w:eastAsia="Calibri" w:hAnsi="Calibri"/>
          <w:b/>
          <w:bCs/>
          <w:sz w:val="20"/>
          <w:szCs w:val="20"/>
        </w:rPr>
        <w:t xml:space="preserve">Senior AI Engineer | Agentic AI Engineer</w:t>
      </w:r>
      <w:r>
        <w:rPr>
          <w:rFonts w:ascii="Calibri" w:cs="Calibri" w:eastAsia="Calibri" w:hAnsi="Calibri"/>
          <w:sz w:val="20"/>
          <w:szCs w:val="20"/>
        </w:rPr>
        <w:t xml:space="preserve"> | </w:t>
      </w:r>
      <w:r>
        <w:rPr>
          <w:rFonts w:ascii="Calibri" w:cs="Calibri" w:eastAsia="Calibri" w:hAnsi="Calibri"/>
          <w:b/>
          <w:bCs/>
          <w:sz w:val="20"/>
          <w:szCs w:val="20"/>
        </w:rPr>
        <w:t xml:space="preserve">Hewlett Packard Enterprise</w:t>
      </w:r>
      <w:r>
        <w:rPr>
          <w:rFonts w:ascii="Calibri" w:cs="Calibri" w:eastAsia="Calibri" w:hAnsi="Calibri"/>
          <w:sz w:val="20"/>
          <w:szCs w:val="20"/>
        </w:rPr>
        <w:t xml:space="preserve">, Spring, Texas (Remote)</w:t>
      </w:r>
      <w:r>
        <w:rPr>
          <w:rFonts w:ascii="Calibri" w:cs="Calibri" w:eastAsia="Calibri" w:hAnsi="Calibri"/>
          <w:sz w:val="20"/>
          <w:szCs w:val="20"/>
        </w:rPr>
        <w:t xml:space="preserve">	Jan 2023 – Dec 2025</w:t>
      </w:r>
    </w:p>
    <w:p>
      <w:pPr>
        <w:spacing w:before="80" w:after="20"/>
      </w:pPr>
      <w:r>
        <w:rPr>
          <w:rFonts w:ascii="Calibri" w:cs="Calibri" w:eastAsia="Calibri" w:hAnsi="Calibri"/>
          <w:b/>
          <w:bCs/>
          <w:i/>
          <w:iCs/>
          <w:sz w:val="20"/>
          <w:szCs w:val="20"/>
        </w:rPr>
        <w:t xml:space="preserve">HPE Private Cloud AI – NVIDIA AI Computing by HPE (2024–2025)</w:t>
      </w:r>
      <w:r>
        <w:rPr>
          <w:rFonts w:ascii="Calibri" w:cs="Calibri" w:eastAsia="Calibri" w:hAnsi="Calibri"/>
          <w:sz w:val="20"/>
          <w:szCs w:val="20"/>
        </w:rPr>
        <w:t xml:space="preserve"> </w:t>
      </w:r>
      <w:hyperlink w:history="1" r:id="rIdfr7nowexdmlsslra9taxj">
        <w:r>
          <w:rPr>
            <w:rStyle w:val="Hyperlink"/>
            <w:rFonts w:ascii="Calibri" w:cs="Calibri" w:eastAsia="Calibri" w:hAnsi="Calibri"/>
            <w:sz w:val="20"/>
            <w:szCs w:val="20"/>
          </w:rPr>
          <w:t xml:space="preserve">Product</w:t>
        </w:r>
      </w:hyperlink>
    </w:p>
    <w:p>
      <w:pPr>
        <w:pStyle w:val="ListParagraph"/>
        <w:numPr>
          <w:ilvl w:val="0"/>
          <w:numId w:val="2"/>
        </w:numPr>
        <w:spacing w:before="20" w:after="20"/>
      </w:pPr>
      <w:r>
        <w:rPr>
          <w:rFonts w:ascii="Calibri" w:cs="Calibri" w:eastAsia="Calibri" w:hAnsi="Calibri"/>
          <w:sz w:val="20"/>
          <w:szCs w:val="20"/>
        </w:rPr>
        <w:t xml:space="preserve">Designed and deployed a multi-agent Plan-and-Execute architecture using LangGraph for the HPE Private Cloud AI platform, reducing infinite loop failures by 35% through state-machine transitions and maximum-iteration safeguards.</w:t>
      </w:r>
    </w:p>
    <w:p>
      <w:pPr>
        <w:pStyle w:val="ListParagraph"/>
        <w:numPr>
          <w:ilvl w:val="0"/>
          <w:numId w:val="2"/>
        </w:numPr>
        <w:spacing w:before="20" w:after="20"/>
      </w:pPr>
      <w:r>
        <w:rPr>
          <w:rFonts w:ascii="Calibri" w:cs="Calibri" w:eastAsia="Calibri" w:hAnsi="Calibri"/>
          <w:sz w:val="20"/>
          <w:szCs w:val="20"/>
        </w:rPr>
        <w:t xml:space="preserve">Architected an MCP (Model Context Protocol) server layer to standardize tool integration across multi-agent workflows, enabling agents to dynamically discover and invoke enterprise tools (database queries, API calls, file operations) through a unified protocol, reducing custom tool-binding code by 60%.</w:t>
      </w:r>
    </w:p>
    <w:p>
      <w:pPr>
        <w:pStyle w:val="ListParagraph"/>
        <w:numPr>
          <w:ilvl w:val="0"/>
          <w:numId w:val="2"/>
        </w:numPr>
        <w:spacing w:before="20" w:after="20"/>
      </w:pPr>
      <w:r>
        <w:rPr>
          <w:rFonts w:ascii="Calibri" w:cs="Calibri" w:eastAsia="Calibri" w:hAnsi="Calibri"/>
          <w:sz w:val="20"/>
          <w:szCs w:val="20"/>
        </w:rPr>
        <w:t xml:space="preserve">Reduced production inference costs by 45% on NVIDIA NIM microservices by implementing a Router Agent that dynamically triaged queries, sending simple tasks to Llama 2 7B and reserving GPT-4 for complex reasoning.</w:t>
      </w:r>
    </w:p>
    <w:p>
      <w:pPr>
        <w:pStyle w:val="ListParagraph"/>
        <w:numPr>
          <w:ilvl w:val="0"/>
          <w:numId w:val="2"/>
        </w:numPr>
        <w:spacing w:before="20" w:after="20"/>
      </w:pPr>
      <w:r>
        <w:rPr>
          <w:rFonts w:ascii="Calibri" w:cs="Calibri" w:eastAsia="Calibri" w:hAnsi="Calibri"/>
          <w:sz w:val="20"/>
          <w:szCs w:val="20"/>
        </w:rPr>
        <w:t xml:space="preserve">Implemented a Human-in-the-loop (HITL) checkpoint system for high-stakes financial workflows within HPE’s enterprise RAG reference architecture, allowing agents to pause and request stakeholder verification when confidence scores fell below a 0.85 threshold.</w:t>
      </w:r>
    </w:p>
    <w:p>
      <w:pPr>
        <w:pStyle w:val="ListParagraph"/>
        <w:numPr>
          <w:ilvl w:val="0"/>
          <w:numId w:val="2"/>
        </w:numPr>
        <w:spacing w:before="20" w:after="20"/>
      </w:pPr>
      <w:r>
        <w:rPr>
          <w:rFonts w:ascii="Calibri" w:cs="Calibri" w:eastAsia="Calibri" w:hAnsi="Calibri"/>
          <w:sz w:val="20"/>
          <w:szCs w:val="20"/>
        </w:rPr>
        <w:t xml:space="preserve">Built real-time observability dashboards using LangSmith and Arize Phoenix to trace agentic execution across HPE AI Essentials, identifying and resolving a critical latency bottleneck in the vector-search retrieval step causing 10s+ delays.</w:t>
      </w:r>
    </w:p>
    <w:p>
      <w:pPr>
        <w:pStyle w:val="ListParagraph"/>
        <w:numPr>
          <w:ilvl w:val="0"/>
          <w:numId w:val="2"/>
        </w:numPr>
        <w:spacing w:before="20" w:after="20"/>
      </w:pPr>
      <w:r>
        <w:rPr>
          <w:rFonts w:ascii="Calibri" w:cs="Calibri" w:eastAsia="Calibri" w:hAnsi="Calibri"/>
          <w:sz w:val="20"/>
          <w:szCs w:val="20"/>
        </w:rPr>
        <w:t xml:space="preserve">Architected a comprehensive LLM evaluation framework using DeepEval and LLM-as-a-Judge, replacing manual vibe checks with a programmatic CI/CD gate measuring Answer Relevancy and Groundedness across 5,000+ test cases.</w:t>
      </w:r>
    </w:p>
    <w:p>
      <w:pPr>
        <w:pStyle w:val="ListParagraph"/>
        <w:numPr>
          <w:ilvl w:val="0"/>
          <w:numId w:val="2"/>
        </w:numPr>
        <w:spacing w:before="20" w:after="20"/>
      </w:pPr>
      <w:r>
        <w:rPr>
          <w:rFonts w:ascii="Calibri" w:cs="Calibri" w:eastAsia="Calibri" w:hAnsi="Calibri"/>
          <w:sz w:val="20"/>
          <w:szCs w:val="20"/>
        </w:rPr>
        <w:t xml:space="preserve">Reduced LLM inference costs by 52% and p95 latency by 300ms by implementing a multi-layer semantic caching strategy with Redis and an intelligent model router dynamically triaging between Llama 2 and GPT-4.</w:t>
      </w:r>
    </w:p>
    <w:p>
      <w:pPr>
        <w:pStyle w:val="ListParagraph"/>
        <w:numPr>
          <w:ilvl w:val="0"/>
          <w:numId w:val="2"/>
        </w:numPr>
        <w:spacing w:before="20" w:after="20"/>
      </w:pPr>
      <w:r>
        <w:rPr>
          <w:rFonts w:ascii="Calibri" w:cs="Calibri" w:eastAsia="Calibri" w:hAnsi="Calibri"/>
          <w:sz w:val="20"/>
          <w:szCs w:val="20"/>
        </w:rPr>
        <w:t xml:space="preserve">Developed a Shadow Deployment pipeline for prompt engineering, allowing the team to run A/B tests on live production traffic with 0% user impact before promoting new prompt versions.</w:t>
      </w:r>
    </w:p>
    <w:p>
      <w:pPr>
        <w:pStyle w:val="ListParagraph"/>
        <w:numPr>
          <w:ilvl w:val="0"/>
          <w:numId w:val="2"/>
        </w:numPr>
        <w:spacing w:before="20" w:after="20"/>
      </w:pPr>
      <w:r>
        <w:rPr>
          <w:rFonts w:ascii="Calibri" w:cs="Calibri" w:eastAsia="Calibri" w:hAnsi="Calibri"/>
          <w:sz w:val="20"/>
          <w:szCs w:val="20"/>
        </w:rPr>
        <w:t xml:space="preserve">Designed a multi-agent collaboration framework with dedicated Planner, Executor, and Critic agents communicating via structured message-passing protocols, enabling complex enterprise workflows to self-correct through iterative feedback loops.</w:t>
      </w:r>
    </w:p>
    <w:p>
      <w:pPr>
        <w:spacing w:before="80" w:after="20"/>
      </w:pPr>
      <w:r>
        <w:rPr>
          <w:rFonts w:ascii="Calibri" w:cs="Calibri" w:eastAsia="Calibri" w:hAnsi="Calibri"/>
          <w:b/>
          <w:bCs/>
          <w:i/>
          <w:iCs/>
          <w:sz w:val="20"/>
          <w:szCs w:val="20"/>
        </w:rPr>
        <w:t xml:space="preserve">HPE Ezmeral Unified Analytics &amp; Data Fabric (2023–2024)</w:t>
      </w:r>
      <w:r>
        <w:rPr>
          <w:rFonts w:ascii="Calibri" w:cs="Calibri" w:eastAsia="Calibri" w:hAnsi="Calibri"/>
          <w:sz w:val="20"/>
          <w:szCs w:val="20"/>
        </w:rPr>
        <w:t xml:space="preserve"> </w:t>
      </w:r>
      <w:hyperlink w:history="1" r:id="rIdlwyj-rsp83ldxb0efy1bm">
        <w:r>
          <w:rPr>
            <w:rStyle w:val="Hyperlink"/>
            <w:rFonts w:ascii="Calibri" w:cs="Calibri" w:eastAsia="Calibri" w:hAnsi="Calibri"/>
            <w:sz w:val="20"/>
            <w:szCs w:val="20"/>
          </w:rPr>
          <w:t xml:space="preserve">Product</w:t>
        </w:r>
      </w:hyperlink>
    </w:p>
    <w:p>
      <w:pPr>
        <w:pStyle w:val="ListParagraph"/>
        <w:numPr>
          <w:ilvl w:val="0"/>
          <w:numId w:val="2"/>
        </w:numPr>
        <w:spacing w:before="20" w:after="20"/>
      </w:pPr>
      <w:r>
        <w:rPr>
          <w:rFonts w:ascii="Calibri" w:cs="Calibri" w:eastAsia="Calibri" w:hAnsi="Calibri"/>
          <w:sz w:val="20"/>
          <w:szCs w:val="20"/>
        </w:rPr>
        <w:t xml:space="preserve">Eliminated catastrophic forgetting in a domain-specific Llama 2 deployment on HPE Ezmeral by implementing a multi-objective training recipe, mixing 15% of the original pre-training replay data with new proprietary instruction sets.</w:t>
      </w:r>
    </w:p>
    <w:p>
      <w:pPr>
        <w:pStyle w:val="ListParagraph"/>
        <w:numPr>
          <w:ilvl w:val="0"/>
          <w:numId w:val="2"/>
        </w:numPr>
        <w:spacing w:before="20" w:after="20"/>
      </w:pPr>
      <w:r>
        <w:rPr>
          <w:rFonts w:ascii="Calibri" w:cs="Calibri" w:eastAsia="Calibri" w:hAnsi="Calibri"/>
          <w:sz w:val="20"/>
          <w:szCs w:val="20"/>
        </w:rPr>
        <w:t xml:space="preserve">Reduced training VRAM requirements by 65% using QLoRA 4-bit quantization and Page-Optimizers, enabling fine-tuning of 70B parameter models on HPE ProLiant GPU clusters without sacrificing downstream benchmark performance.</w:t>
      </w:r>
    </w:p>
    <w:p>
      <w:pPr>
        <w:pStyle w:val="ListParagraph"/>
        <w:numPr>
          <w:ilvl w:val="0"/>
          <w:numId w:val="2"/>
        </w:numPr>
        <w:spacing w:before="20" w:after="20"/>
      </w:pPr>
      <w:r>
        <w:rPr>
          <w:rFonts w:ascii="Calibri" w:cs="Calibri" w:eastAsia="Calibri" w:hAnsi="Calibri"/>
          <w:sz w:val="20"/>
          <w:szCs w:val="20"/>
        </w:rPr>
        <w:t xml:space="preserve">Improved inference throughput by 4x by migrating fine-tuned adapters to a multi-LoRA serving framework (vLLM/LoRAX), allowing the system to serve 10+ specialized client adapters on a single shared GPU base model.</w:t>
      </w:r>
    </w:p>
    <w:p>
      <w:pPr>
        <w:pStyle w:val="ListParagraph"/>
        <w:numPr>
          <w:ilvl w:val="0"/>
          <w:numId w:val="2"/>
        </w:numPr>
        <w:spacing w:before="20" w:after="20"/>
      </w:pPr>
      <w:r>
        <w:rPr>
          <w:rFonts w:ascii="Calibri" w:cs="Calibri" w:eastAsia="Calibri" w:hAnsi="Calibri"/>
          <w:sz w:val="20"/>
          <w:szCs w:val="20"/>
        </w:rPr>
        <w:t xml:space="preserve">Architected a multi-region Kafka deployment using MirrorMaker 2.0 for the Ezmeral Data Fabric, achieving sub-second cross-region replication latency and ensuring high availability for mission-critical event streams.</w:t>
      </w:r>
    </w:p>
    <w:p>
      <w:pPr>
        <w:pStyle w:val="ListParagraph"/>
        <w:numPr>
          <w:ilvl w:val="0"/>
          <w:numId w:val="2"/>
        </w:numPr>
        <w:spacing w:before="20" w:after="20"/>
      </w:pPr>
      <w:r>
        <w:rPr>
          <w:rFonts w:ascii="Calibri" w:cs="Calibri" w:eastAsia="Calibri" w:hAnsi="Calibri"/>
          <w:sz w:val="20"/>
          <w:szCs w:val="20"/>
        </w:rPr>
        <w:t xml:space="preserve">Mitigated context drift in complex long-horizon agentic tasks by engineering a tiered memory system (Redis + Postgres) that dynamically compresses conversation history into semantic summaries, preserving critical intent across 20+ agent handoffs in multi-agent pipelines.</w:t>
      </w:r>
    </w:p>
    <w:p>
      <w:pPr>
        <w:spacing w:before="80" w:after="20"/>
      </w:pPr>
      <w:r>
        <w:rPr>
          <w:rFonts w:ascii="Calibri" w:cs="Calibri" w:eastAsia="Calibri" w:hAnsi="Calibri"/>
          <w:b/>
          <w:bCs/>
          <w:i/>
          <w:iCs/>
          <w:sz w:val="20"/>
          <w:szCs w:val="20"/>
        </w:rPr>
        <w:t xml:space="preserve">HPE GreenLake Cloud Platform &amp; OpsRamp AIOps (2023–2025)</w:t>
      </w:r>
      <w:r>
        <w:rPr>
          <w:rFonts w:ascii="Calibri" w:cs="Calibri" w:eastAsia="Calibri" w:hAnsi="Calibri"/>
          <w:sz w:val="20"/>
          <w:szCs w:val="20"/>
        </w:rPr>
        <w:t xml:space="preserve"> </w:t>
      </w:r>
      <w:hyperlink w:history="1" r:id="rIdchtd86olg4pft-lg-pm4p">
        <w:r>
          <w:rPr>
            <w:rStyle w:val="Hyperlink"/>
            <w:rFonts w:ascii="Calibri" w:cs="Calibri" w:eastAsia="Calibri" w:hAnsi="Calibri"/>
            <w:sz w:val="20"/>
            <w:szCs w:val="20"/>
          </w:rPr>
          <w:t xml:space="preserve">Product</w:t>
        </w:r>
      </w:hyperlink>
    </w:p>
    <w:p>
      <w:pPr>
        <w:pStyle w:val="ListParagraph"/>
        <w:numPr>
          <w:ilvl w:val="0"/>
          <w:numId w:val="2"/>
        </w:numPr>
        <w:spacing w:before="20" w:after="20"/>
      </w:pPr>
      <w:r>
        <w:rPr>
          <w:rFonts w:ascii="Calibri" w:cs="Calibri" w:eastAsia="Calibri" w:hAnsi="Calibri"/>
          <w:sz w:val="20"/>
          <w:szCs w:val="20"/>
        </w:rPr>
        <w:t xml:space="preserve">Led the migration of a legacy monolithic Django application to a Microservices architecture using Docker and Kubernetes on GreenLake, improving deployment frequency from bi-weekly to multiple times per day.</w:t>
      </w:r>
    </w:p>
    <w:p>
      <w:pPr>
        <w:pStyle w:val="ListParagraph"/>
        <w:numPr>
          <w:ilvl w:val="0"/>
          <w:numId w:val="2"/>
        </w:numPr>
        <w:spacing w:before="20" w:after="20"/>
      </w:pPr>
      <w:r>
        <w:rPr>
          <w:rFonts w:ascii="Calibri" w:cs="Calibri" w:eastAsia="Calibri" w:hAnsi="Calibri"/>
          <w:sz w:val="20"/>
          <w:szCs w:val="20"/>
        </w:rPr>
        <w:t xml:space="preserve">Engineered a high-concurrency event-driven architecture using FastAPI and asyncio, reducing average API response latency by 40% while handling 10k+ concurrent WebSocket connections for GreenLake cloud services.</w:t>
      </w:r>
    </w:p>
    <w:p>
      <w:pPr>
        <w:pStyle w:val="ListParagraph"/>
        <w:numPr>
          <w:ilvl w:val="0"/>
          <w:numId w:val="2"/>
        </w:numPr>
        <w:spacing w:before="20" w:after="20"/>
      </w:pPr>
      <w:r>
        <w:rPr>
          <w:rFonts w:ascii="Calibri" w:cs="Calibri" w:eastAsia="Calibri" w:hAnsi="Calibri"/>
          <w:sz w:val="20"/>
          <w:szCs w:val="20"/>
        </w:rPr>
        <w:t xml:space="preserve">Resolved critical GIL-related bottlenecks in GreenLake’s data-intensive processing service by refactoring CPU-bound logic into Python Multiprocessing and offloading long-running tasks to a Celery/Redis worker cluster.</w:t>
      </w:r>
    </w:p>
    <w:p>
      <w:pPr>
        <w:pStyle w:val="ListParagraph"/>
        <w:numPr>
          <w:ilvl w:val="0"/>
          <w:numId w:val="2"/>
        </w:numPr>
        <w:spacing w:before="20" w:after="20"/>
      </w:pPr>
      <w:r>
        <w:rPr>
          <w:rFonts w:ascii="Calibri" w:cs="Calibri" w:eastAsia="Calibri" w:hAnsi="Calibri"/>
          <w:sz w:val="20"/>
          <w:szCs w:val="20"/>
        </w:rPr>
        <w:t xml:space="preserve">Resolved complex integration bottlenecks between Azure Data Factory and third-party SaaS by configuring Self-Hosted Integration Runtimes (SHIR), bypassing static IP whitelisting limitations for secure data egress.</w:t>
      </w:r>
    </w:p>
    <w:p>
      <w:pPr>
        <w:pStyle w:val="ListParagraph"/>
        <w:numPr>
          <w:ilvl w:val="0"/>
          <w:numId w:val="2"/>
        </w:numPr>
        <w:spacing w:before="20" w:after="20"/>
      </w:pPr>
      <w:r>
        <w:rPr>
          <w:rFonts w:ascii="Calibri" w:cs="Calibri" w:eastAsia="Calibri" w:hAnsi="Calibri"/>
          <w:sz w:val="20"/>
          <w:szCs w:val="20"/>
        </w:rPr>
        <w:t xml:space="preserve">Architected a Self-Correction loop for a SQL-generating agent in the OpsRamp AIOps copilot that utilized a dedicated Validator node to test-run queries in a sandboxed environment, reducing syntax-related runtime errors by 50%.</w:t>
      </w:r>
    </w:p>
    <w:p>
      <w:pPr>
        <w:pStyle w:val="ListParagraph"/>
        <w:numPr>
          <w:ilvl w:val="0"/>
          <w:numId w:val="2"/>
        </w:numPr>
        <w:spacing w:before="20" w:after="20"/>
      </w:pPr>
      <w:r>
        <w:rPr>
          <w:rFonts w:ascii="Calibri" w:cs="Calibri" w:eastAsia="Calibri" w:hAnsi="Calibri"/>
          <w:sz w:val="20"/>
          <w:szCs w:val="20"/>
        </w:rPr>
        <w:t xml:space="preserve">Built an MCP-compliant tool registry for the OpsRamp AIOps copilot, allowing agentic workflows to dynamically discover and bind to monitoring APIs, ticketing systems, and infrastructure management tools at runtime without hardcoded integrations.</w:t>
      </w:r>
    </w:p>
    <w:p>
      <w:pPr>
        <w:pStyle w:val="ListParagraph"/>
        <w:numPr>
          <w:ilvl w:val="0"/>
          <w:numId w:val="2"/>
        </w:numPr>
        <w:spacing w:before="20" w:after="20"/>
      </w:pPr>
      <w:r>
        <w:rPr>
          <w:rFonts w:ascii="Calibri" w:cs="Calibri" w:eastAsia="Calibri" w:hAnsi="Calibri"/>
          <w:sz w:val="20"/>
          <w:szCs w:val="20"/>
        </w:rPr>
        <w:t xml:space="preserve">Architected a high-throughput NER pipeline by wrapping custom Keras Bi-LSTM models into spaCy v3.x custom components for the Ezmeral Unified Analytics platform, achieving a 25% increase in F1-score over vanilla en_core_web_trf for domain-specific medical entities.</w:t>
      </w:r>
    </w:p>
    <w:p>
      <w:pPr>
        <w:pStyle w:val="ListParagraph"/>
        <w:numPr>
          <w:ilvl w:val="0"/>
          <w:numId w:val="2"/>
        </w:numPr>
        <w:spacing w:before="20" w:after="20"/>
      </w:pPr>
      <w:r>
        <w:rPr>
          <w:rFonts w:ascii="Calibri" w:cs="Calibri" w:eastAsia="Calibri" w:hAnsi="Calibri"/>
          <w:sz w:val="20"/>
          <w:szCs w:val="20"/>
        </w:rPr>
        <w:t xml:space="preserve">Engineered custom spaCy and Transformer-based models integrated directly with Fabric Lakehouse, solving executor memory bottlenecks by implementing a lazy-loading pattern for model weights across Spark clusters.</w:t>
      </w:r>
    </w:p>
    <w:p>
      <w:pPr>
        <w:tabs>
          <w:tab w:val="right" w:pos="9026"/>
        </w:tabs>
        <w:spacing w:before="120" w:after="0"/>
      </w:pPr>
      <w:r>
        <w:rPr>
          <w:rFonts w:ascii="Calibri" w:cs="Calibri" w:eastAsia="Calibri" w:hAnsi="Calibri"/>
          <w:b/>
          <w:bCs/>
          <w:sz w:val="20"/>
          <w:szCs w:val="20"/>
        </w:rPr>
        <w:t xml:space="preserve">Data &amp; Machine Learning Engineer</w:t>
      </w:r>
      <w:r>
        <w:rPr>
          <w:rFonts w:ascii="Calibri" w:cs="Calibri" w:eastAsia="Calibri" w:hAnsi="Calibri"/>
          <w:sz w:val="20"/>
          <w:szCs w:val="20"/>
        </w:rPr>
        <w:t xml:space="preserve"> | </w:t>
      </w:r>
      <w:r>
        <w:rPr>
          <w:rFonts w:ascii="Calibri" w:cs="Calibri" w:eastAsia="Calibri" w:hAnsi="Calibri"/>
          <w:b/>
          <w:bCs/>
          <w:sz w:val="20"/>
          <w:szCs w:val="20"/>
        </w:rPr>
        <w:t xml:space="preserve">Adobe</w:t>
      </w:r>
      <w:r>
        <w:rPr>
          <w:rFonts w:ascii="Calibri" w:cs="Calibri" w:eastAsia="Calibri" w:hAnsi="Calibri"/>
          <w:sz w:val="20"/>
          <w:szCs w:val="20"/>
        </w:rPr>
        <w:t xml:space="preserve">, San Jose, California</w:t>
      </w:r>
      <w:r>
        <w:rPr>
          <w:rFonts w:ascii="Calibri" w:cs="Calibri" w:eastAsia="Calibri" w:hAnsi="Calibri"/>
          <w:sz w:val="20"/>
          <w:szCs w:val="20"/>
        </w:rPr>
        <w:t xml:space="preserve">	Aug 2019 – Jan 2023</w:t>
      </w:r>
    </w:p>
    <w:p>
      <w:pPr>
        <w:spacing w:before="80" w:after="20"/>
      </w:pPr>
      <w:r>
        <w:rPr>
          <w:rFonts w:ascii="Calibri" w:cs="Calibri" w:eastAsia="Calibri" w:hAnsi="Calibri"/>
          <w:b/>
          <w:bCs/>
          <w:i/>
          <w:iCs/>
          <w:sz w:val="20"/>
          <w:szCs w:val="20"/>
        </w:rPr>
        <w:t xml:space="preserve">Adobe Experience Platform Pipeline &amp; Data Lake (2019–2022)</w:t>
      </w:r>
      <w:r>
        <w:rPr>
          <w:rFonts w:ascii="Calibri" w:cs="Calibri" w:eastAsia="Calibri" w:hAnsi="Calibri"/>
          <w:sz w:val="20"/>
          <w:szCs w:val="20"/>
        </w:rPr>
        <w:t xml:space="preserve"> </w:t>
      </w:r>
      <w:hyperlink w:history="1" r:id="rIdlu_iv0pwrb9dkgo2nueg5">
        <w:r>
          <w:rPr>
            <w:rStyle w:val="Hyperlink"/>
            <w:rFonts w:ascii="Calibri" w:cs="Calibri" w:eastAsia="Calibri" w:hAnsi="Calibri"/>
            <w:sz w:val="20"/>
            <w:szCs w:val="20"/>
          </w:rPr>
          <w:t xml:space="preserve">Product</w:t>
        </w:r>
      </w:hyperlink>
    </w:p>
    <w:p>
      <w:pPr>
        <w:pStyle w:val="ListParagraph"/>
        <w:numPr>
          <w:ilvl w:val="0"/>
          <w:numId w:val="2"/>
        </w:numPr>
        <w:spacing w:before="20" w:after="20"/>
      </w:pPr>
      <w:r>
        <w:rPr>
          <w:rFonts w:ascii="Calibri" w:cs="Calibri" w:eastAsia="Calibri" w:hAnsi="Calibri"/>
          <w:sz w:val="20"/>
          <w:szCs w:val="20"/>
        </w:rPr>
        <w:t xml:space="preserve">Architected a high-throughput ETL (Extract-Transform-Load) pipeline for the Adobe Experience Platform (AEP) data lake using Spark and custom parsers, processing 5TB+ of multi-modal data (PDFs, Slack logs, and call transcripts) into a queryable knowledge base for enterprise search applications.</w:t>
      </w:r>
    </w:p>
    <w:p>
      <w:pPr>
        <w:pStyle w:val="ListParagraph"/>
        <w:numPr>
          <w:ilvl w:val="0"/>
          <w:numId w:val="2"/>
        </w:numPr>
        <w:spacing w:before="20" w:after="20"/>
      </w:pPr>
      <w:r>
        <w:rPr>
          <w:rFonts w:ascii="Calibri" w:cs="Calibri" w:eastAsia="Calibri" w:hAnsi="Calibri"/>
          <w:sz w:val="20"/>
          <w:szCs w:val="20"/>
        </w:rPr>
        <w:t xml:space="preserve">Eliminated vector-relational desynchronization on the AEP data lake by implementing a Change Data Capture (CDC) workflow via Debezium and Kafka, ensuring 99.9% consistency between the operational SQL database and the Pinecone vector store.</w:t>
      </w:r>
    </w:p>
    <w:p>
      <w:pPr>
        <w:pStyle w:val="ListParagraph"/>
        <w:numPr>
          <w:ilvl w:val="0"/>
          <w:numId w:val="2"/>
        </w:numPr>
        <w:spacing w:before="20" w:after="20"/>
      </w:pPr>
      <w:r>
        <w:rPr>
          <w:rFonts w:ascii="Calibri" w:cs="Calibri" w:eastAsia="Calibri" w:hAnsi="Calibri"/>
          <w:sz w:val="20"/>
          <w:szCs w:val="20"/>
        </w:rPr>
        <w:t xml:space="preserve">Engineered a Blue-Green re-indexing strategy to manage embedding drift during model upgrades (e.g., migrating from sentence-transformers to OpenAI ada-002), allowing for zero-downtime transitions across 50M+ vectors.</w:t>
      </w:r>
    </w:p>
    <w:p>
      <w:pPr>
        <w:pStyle w:val="ListParagraph"/>
        <w:numPr>
          <w:ilvl w:val="0"/>
          <w:numId w:val="2"/>
        </w:numPr>
        <w:spacing w:before="20" w:after="20"/>
      </w:pPr>
      <w:r>
        <w:rPr>
          <w:rFonts w:ascii="Calibri" w:cs="Calibri" w:eastAsia="Calibri" w:hAnsi="Calibri"/>
          <w:sz w:val="20"/>
          <w:szCs w:val="20"/>
        </w:rPr>
        <w:t xml:space="preserve">Optimized semantic search retrieval performance by 40% by designing a multi-stage chunking strategy that utilized hierarchical document indexing and semantic overlap, significantly reducing irrelevant results during inference.</w:t>
      </w:r>
    </w:p>
    <w:p>
      <w:pPr>
        <w:pStyle w:val="ListParagraph"/>
        <w:numPr>
          <w:ilvl w:val="0"/>
          <w:numId w:val="2"/>
        </w:numPr>
        <w:spacing w:before="20" w:after="20"/>
      </w:pPr>
      <w:r>
        <w:rPr>
          <w:rFonts w:ascii="Calibri" w:cs="Calibri" w:eastAsia="Calibri" w:hAnsi="Calibri"/>
          <w:sz w:val="20"/>
          <w:szCs w:val="20"/>
        </w:rPr>
        <w:t xml:space="preserve">Reduced vector storage costs by $8k/month by implementing a tiered data strategy, moving cold embeddings to a lower-cost serverless index while keeping high-frequency hot data in high-performance memory.</w:t>
      </w:r>
    </w:p>
    <w:p>
      <w:pPr>
        <w:spacing w:before="80" w:after="20"/>
      </w:pPr>
      <w:r>
        <w:rPr>
          <w:rFonts w:ascii="Calibri" w:cs="Calibri" w:eastAsia="Calibri" w:hAnsi="Calibri"/>
          <w:b/>
          <w:bCs/>
          <w:i/>
          <w:iCs/>
          <w:sz w:val="20"/>
          <w:szCs w:val="20"/>
        </w:rPr>
        <w:t xml:space="preserve">Adobe Sensei ML Framework &amp; Content Intelligence (2020–2023)</w:t>
      </w:r>
      <w:r>
        <w:rPr>
          <w:rFonts w:ascii="Calibri" w:cs="Calibri" w:eastAsia="Calibri" w:hAnsi="Calibri"/>
          <w:sz w:val="20"/>
          <w:szCs w:val="20"/>
        </w:rPr>
        <w:t xml:space="preserve"> </w:t>
      </w:r>
      <w:hyperlink w:history="1" r:id="rId3xqe6tbwbr6yfv9rzavo-">
        <w:r>
          <w:rPr>
            <w:rStyle w:val="Hyperlink"/>
            <w:rFonts w:ascii="Calibri" w:cs="Calibri" w:eastAsia="Calibri" w:hAnsi="Calibri"/>
            <w:sz w:val="20"/>
            <w:szCs w:val="20"/>
          </w:rPr>
          <w:t xml:space="preserve">Product</w:t>
        </w:r>
      </w:hyperlink>
    </w:p>
    <w:p>
      <w:pPr>
        <w:pStyle w:val="ListParagraph"/>
        <w:numPr>
          <w:ilvl w:val="0"/>
          <w:numId w:val="2"/>
        </w:numPr>
        <w:spacing w:before="20" w:after="20"/>
      </w:pPr>
      <w:r>
        <w:rPr>
          <w:rFonts w:ascii="Calibri" w:cs="Calibri" w:eastAsia="Calibri" w:hAnsi="Calibri"/>
          <w:sz w:val="20"/>
          <w:szCs w:val="20"/>
        </w:rPr>
        <w:t xml:space="preserve">Deployed an automated Semantic Data Guard using Great Expectations and custom validation rules to monitor for data drift in production, alerting the team when the semantic distribution of incoming queries deviated from the training set by 15%.</w:t>
      </w:r>
    </w:p>
    <w:p>
      <w:pPr>
        <w:pStyle w:val="ListParagraph"/>
        <w:numPr>
          <w:ilvl w:val="0"/>
          <w:numId w:val="2"/>
        </w:numPr>
        <w:spacing w:before="20" w:after="20"/>
      </w:pPr>
      <w:r>
        <w:rPr>
          <w:rFonts w:ascii="Calibri" w:cs="Calibri" w:eastAsia="Calibri" w:hAnsi="Calibri"/>
          <w:sz w:val="20"/>
          <w:szCs w:val="20"/>
        </w:rPr>
        <w:t xml:space="preserve">Standardized AI Data Contracts across four engineering teams, enforcing metadata requirements (lineage, freshness, and PII-masking) at the ingestion layer to ensure compliance with GDPR and CCPA data governance standards.</w:t>
      </w:r>
    </w:p>
    <w:p>
      <w:pPr>
        <w:pStyle w:val="ListParagraph"/>
        <w:numPr>
          <w:ilvl w:val="0"/>
          <w:numId w:val="2"/>
        </w:numPr>
        <w:spacing w:before="20" w:after="20"/>
      </w:pPr>
      <w:r>
        <w:rPr>
          <w:rFonts w:ascii="Calibri" w:cs="Calibri" w:eastAsia="Calibri" w:hAnsi="Calibri"/>
          <w:sz w:val="20"/>
          <w:szCs w:val="20"/>
        </w:rPr>
        <w:t xml:space="preserve">Built a real-time observability dashboard using Grafana and Prometheus to track retrieval precision and relevance metrics, identifying and fixing a critical data-leakage issue where internal-only documents were being surfaced to external users.</w:t>
      </w:r>
    </w:p>
    <w:p>
      <w:pPr>
        <w:pStyle w:val="ListParagraph"/>
        <w:numPr>
          <w:ilvl w:val="0"/>
          <w:numId w:val="2"/>
        </w:numPr>
        <w:spacing w:before="20" w:after="20"/>
      </w:pPr>
      <w:r>
        <w:rPr>
          <w:rFonts w:ascii="Calibri" w:cs="Calibri" w:eastAsia="Calibri" w:hAnsi="Calibri"/>
          <w:sz w:val="20"/>
          <w:szCs w:val="20"/>
        </w:rPr>
        <w:t xml:space="preserve">Developed a synthetic data generation engine using SDV and GPT-3.5 to augment underrepresented edge cases in the training pipeline, improving model robustness on minority-class classification tasks by 18%.</w:t>
      </w:r>
    </w:p>
    <w:p>
      <w:pPr>
        <w:pStyle w:val="ListParagraph"/>
        <w:numPr>
          <w:ilvl w:val="0"/>
          <w:numId w:val="2"/>
        </w:numPr>
        <w:spacing w:before="20" w:after="20"/>
      </w:pPr>
      <w:r>
        <w:rPr>
          <w:rFonts w:ascii="Calibri" w:cs="Calibri" w:eastAsia="Calibri" w:hAnsi="Calibri"/>
          <w:sz w:val="20"/>
          <w:szCs w:val="20"/>
        </w:rPr>
        <w:t xml:space="preserve">Reduced inference latency by 65% for a high-traffic classification service by implementing model distillation using a smaller draft model and migrating to an optimized FP16 serving stack on NVIDIA A100 GPUs.</w:t>
      </w:r>
    </w:p>
    <w:p>
      <w:pPr>
        <w:pStyle w:val="ListParagraph"/>
        <w:numPr>
          <w:ilvl w:val="0"/>
          <w:numId w:val="2"/>
        </w:numPr>
        <w:spacing w:before="20" w:after="20"/>
      </w:pPr>
      <w:r>
        <w:rPr>
          <w:rFonts w:ascii="Calibri" w:cs="Calibri" w:eastAsia="Calibri" w:hAnsi="Calibri"/>
          <w:sz w:val="20"/>
          <w:szCs w:val="20"/>
        </w:rPr>
        <w:t xml:space="preserve">Solved a critical multi-modal cold start problem by implementing a tiered embedding cache (Redis + Elasticsearch), reducing the first-response time from 2.4s to 400ms for 95% of requests.</w:t>
      </w:r>
    </w:p>
    <w:p>
      <w:pPr>
        <w:pStyle w:val="ListParagraph"/>
        <w:numPr>
          <w:ilvl w:val="0"/>
          <w:numId w:val="2"/>
        </w:numPr>
        <w:spacing w:before="20" w:after="20"/>
      </w:pPr>
      <w:r>
        <w:rPr>
          <w:rFonts w:ascii="Calibri" w:cs="Calibri" w:eastAsia="Calibri" w:hAnsi="Calibri"/>
          <w:sz w:val="20"/>
          <w:szCs w:val="20"/>
        </w:rPr>
        <w:t xml:space="preserve">Built a programmatic A/B testing framework that automatically promotes models based on Ground Truth alignment using statistical significance tests and human evaluation rather than just raw accuracy metrics.</w:t>
      </w:r>
    </w:p>
    <w:p>
      <w:pPr>
        <w:pStyle w:val="ListParagraph"/>
        <w:numPr>
          <w:ilvl w:val="0"/>
          <w:numId w:val="2"/>
        </w:numPr>
        <w:spacing w:before="20" w:after="20"/>
      </w:pPr>
      <w:r>
        <w:rPr>
          <w:rFonts w:ascii="Calibri" w:cs="Calibri" w:eastAsia="Calibri" w:hAnsi="Calibri"/>
          <w:sz w:val="20"/>
          <w:szCs w:val="20"/>
        </w:rPr>
        <w:t xml:space="preserve">Engineered a Fail-Soft orchestration layer that dynamically routed complex queries to a high-capacity model and simple queries to a local, fine-tuned smaller model, saving $15k/month in compute costs.</w:t>
      </w:r>
    </w:p>
    <w:p>
      <w:pPr>
        <w:pBdr>
          <w:bottom w:val="single" w:color="000000" w:sz="6" w:space="1"/>
        </w:pBdr>
        <w:spacing w:before="200" w:after="60"/>
      </w:pPr>
      <w:r>
        <w:rPr>
          <w:rFonts w:ascii="Calibri" w:cs="Calibri" w:eastAsia="Calibri" w:hAnsi="Calibri"/>
          <w:b/>
          <w:bCs/>
          <w:sz w:val="22"/>
          <w:szCs w:val="22"/>
        </w:rPr>
        <w:t xml:space="preserve">EDUCATION</w:t>
      </w:r>
    </w:p>
    <w:p>
      <w:pPr>
        <w:tabs>
          <w:tab w:val="right" w:pos="9026"/>
        </w:tabs>
        <w:spacing w:before="80" w:after="20"/>
      </w:pPr>
      <w:r>
        <w:rPr>
          <w:rFonts w:ascii="Calibri" w:cs="Calibri" w:eastAsia="Calibri" w:hAnsi="Calibri"/>
          <w:b/>
          <w:bCs/>
          <w:sz w:val="20"/>
          <w:szCs w:val="20"/>
        </w:rPr>
        <w:t xml:space="preserve">Master of Computer Science</w:t>
      </w:r>
      <w:r>
        <w:rPr>
          <w:rFonts w:ascii="Calibri" w:cs="Calibri" w:eastAsia="Calibri" w:hAnsi="Calibri"/>
          <w:sz w:val="20"/>
          <w:szCs w:val="20"/>
        </w:rPr>
        <w:t xml:space="preserve"> — Santa Clara University</w:t>
      </w:r>
      <w:r>
        <w:rPr>
          <w:rFonts w:ascii="Calibri" w:cs="Calibri" w:eastAsia="Calibri" w:hAnsi="Calibri"/>
          <w:sz w:val="20"/>
          <w:szCs w:val="20"/>
        </w:rPr>
        <w:t xml:space="preserve">	Aug 2019 – Jun 2020</w:t>
      </w:r>
    </w:p>
    <w:p>
      <w:pPr>
        <w:tabs>
          <w:tab w:val="right" w:pos="9026"/>
        </w:tabs>
        <w:spacing w:before="40" w:after="20"/>
      </w:pPr>
      <w:r>
        <w:rPr>
          <w:rFonts w:ascii="Calibri" w:cs="Calibri" w:eastAsia="Calibri" w:hAnsi="Calibri"/>
          <w:b/>
          <w:bCs/>
          <w:sz w:val="20"/>
          <w:szCs w:val="20"/>
        </w:rPr>
        <w:t xml:space="preserve">Bachelor of Computer Science</w:t>
      </w:r>
      <w:r>
        <w:rPr>
          <w:rFonts w:ascii="Calibri" w:cs="Calibri" w:eastAsia="Calibri" w:hAnsi="Calibri"/>
          <w:sz w:val="20"/>
          <w:szCs w:val="20"/>
        </w:rPr>
        <w:t xml:space="preserve"> — Santa Clara University</w:t>
      </w:r>
      <w:r>
        <w:rPr>
          <w:rFonts w:ascii="Calibri" w:cs="Calibri" w:eastAsia="Calibri" w:hAnsi="Calibri"/>
          <w:sz w:val="20"/>
          <w:szCs w:val="20"/>
        </w:rPr>
        <w:t xml:space="preserve">	Sep 2015 – Jun 2019</w:t>
      </w:r>
    </w:p>
    <w:p>
      <w:pPr>
        <w:pBdr>
          <w:bottom w:val="single" w:color="000000" w:sz="6" w:space="1"/>
        </w:pBdr>
        <w:spacing w:before="200" w:after="60"/>
      </w:pPr>
      <w:r>
        <w:rPr>
          <w:rFonts w:ascii="Calibri" w:cs="Calibri" w:eastAsia="Calibri" w:hAnsi="Calibri"/>
          <w:b/>
          <w:bCs/>
          <w:sz w:val="22"/>
          <w:szCs w:val="22"/>
        </w:rPr>
        <w:t xml:space="preserve">PROJECTS</w:t>
      </w:r>
    </w:p>
    <w:p>
      <w:pPr>
        <w:tabs>
          <w:tab w:val="right" w:pos="9026"/>
        </w:tabs>
        <w:spacing w:before="80" w:after="10"/>
      </w:pPr>
      <w:r>
        <w:rPr>
          <w:rFonts w:ascii="Calibri" w:cs="Calibri" w:eastAsia="Calibri" w:hAnsi="Calibri"/>
          <w:b/>
          <w:bCs/>
          <w:sz w:val="20"/>
          <w:szCs w:val="20"/>
        </w:rPr>
        <w:t xml:space="preserve">Lextar AI – Governance-Grade Legal Reasoning Platform</w:t>
      </w:r>
      <w:r>
        <w:rPr>
          <w:rFonts w:ascii="Calibri" w:cs="Calibri" w:eastAsia="Calibri" w:hAnsi="Calibri"/>
          <w:sz w:val="20"/>
          <w:szCs w:val="20"/>
        </w:rPr>
        <w:t xml:space="preserve"> | </w:t>
      </w:r>
      <w:hyperlink w:history="1" r:id="rIdkmcqgpz69ugumdujghvea">
        <w:r>
          <w:rPr>
            <w:rStyle w:val="Hyperlink"/>
            <w:rFonts w:ascii="Calibri" w:cs="Calibri" w:eastAsia="Calibri" w:hAnsi="Calibri"/>
            <w:sz w:val="20"/>
            <w:szCs w:val="20"/>
          </w:rPr>
          <w:t xml:space="preserve">Product</w:t>
        </w:r>
      </w:hyperlink>
      <w:r>
        <w:rPr>
          <w:rFonts w:ascii="Calibri" w:cs="Calibri" w:eastAsia="Calibri" w:hAnsi="Calibri"/>
          <w:sz w:val="20"/>
          <w:szCs w:val="20"/>
        </w:rPr>
        <w:t xml:space="preserve">	2026 – Present</w:t>
      </w:r>
    </w:p>
    <w:p>
      <w:pPr>
        <w:spacing w:before="0" w:after="20"/>
      </w:pPr>
      <w:r>
        <w:rPr>
          <w:rFonts w:ascii="Calibri" w:cs="Calibri" w:eastAsia="Calibri" w:hAnsi="Calibri"/>
          <w:i/>
          <w:iCs/>
          <w:sz w:val="18"/>
          <w:szCs w:val="18"/>
        </w:rPr>
        <w:t xml:space="preserve">FastAPI, Next.js, React, TypeScript, PostgreSQL, SQLAlchemy, ChromaDB, DeepSeek, GraphRAG, BGE Embeddings, Clerk, Stripe, SSE, Alembic, Gunicorn, Uvicorn, Vercel, Python</w:t>
      </w:r>
    </w:p>
    <w:p>
      <w:pPr>
        <w:pStyle w:val="ListParagraph"/>
        <w:numPr>
          <w:ilvl w:val="0"/>
          <w:numId w:val="2"/>
        </w:numPr>
        <w:spacing w:before="20" w:after="20"/>
      </w:pPr>
      <w:r>
        <w:rPr>
          <w:rFonts w:ascii="Calibri" w:cs="Calibri" w:eastAsia="Calibri" w:hAnsi="Calibri"/>
          <w:sz w:val="20"/>
          <w:szCs w:val="20"/>
        </w:rPr>
        <w:t xml:space="preserve">Architected a full-stack legal AI SaaS platform with hybrid GraphRAG retrieval (1,300+ node knowledge graph + vector search), 11-step structured legal reasoning pipeline, multi-tenant RBAC, real-time streaming analysis workspace, and governance-grade output verification for Canadian and US immigration law.</w:t>
      </w:r>
    </w:p>
    <w:p>
      <w:pPr>
        <w:tabs>
          <w:tab w:val="right" w:pos="9026"/>
        </w:tabs>
        <w:spacing w:before="80" w:after="10"/>
      </w:pPr>
      <w:r>
        <w:rPr>
          <w:rFonts w:ascii="Calibri" w:cs="Calibri" w:eastAsia="Calibri" w:hAnsi="Calibri"/>
          <w:b/>
          <w:bCs/>
          <w:sz w:val="20"/>
          <w:szCs w:val="20"/>
        </w:rPr>
        <w:t xml:space="preserve">HPE Private Cloud AI &amp; NVIDIA AI Computing by HPE</w:t>
      </w:r>
      <w:r>
        <w:rPr>
          <w:rFonts w:ascii="Calibri" w:cs="Calibri" w:eastAsia="Calibri" w:hAnsi="Calibri"/>
          <w:sz w:val="20"/>
          <w:szCs w:val="20"/>
        </w:rPr>
        <w:t xml:space="preserve"> | </w:t>
      </w:r>
      <w:hyperlink w:history="1" r:id="rId2ltv8oxdgbnwbjoe0vhfb">
        <w:r>
          <w:rPr>
            <w:rStyle w:val="Hyperlink"/>
            <w:rFonts w:ascii="Calibri" w:cs="Calibri" w:eastAsia="Calibri" w:hAnsi="Calibri"/>
            <w:sz w:val="20"/>
            <w:szCs w:val="20"/>
          </w:rPr>
          <w:t xml:space="preserve">Product</w:t>
        </w:r>
      </w:hyperlink>
      <w:r>
        <w:rPr>
          <w:rFonts w:ascii="Calibri" w:cs="Calibri" w:eastAsia="Calibri" w:hAnsi="Calibri"/>
          <w:sz w:val="20"/>
          <w:szCs w:val="20"/>
        </w:rPr>
        <w:t xml:space="preserve">	2024 – 2025</w:t>
      </w:r>
    </w:p>
    <w:p>
      <w:pPr>
        <w:spacing w:before="0" w:after="20"/>
      </w:pPr>
      <w:r>
        <w:rPr>
          <w:rFonts w:ascii="Calibri" w:cs="Calibri" w:eastAsia="Calibri" w:hAnsi="Calibri"/>
          <w:i/>
          <w:iCs/>
          <w:sz w:val="18"/>
          <w:szCs w:val="18"/>
        </w:rPr>
        <w:t xml:space="preserve">LangGraph, LangSmith, Arize Phoenix, DeepEval, LLM-as-a-Judge, NVIDIA NIM, RAG, MCP, Multi-Agent Orchestration, Llama 2, GPT-4, Redis, Pydantic, FastAPI, vLLM, LoRAX, QLoRA, Python, CI/CD</w:t>
      </w:r>
    </w:p>
    <w:p>
      <w:pPr>
        <w:pStyle w:val="ListParagraph"/>
        <w:numPr>
          <w:ilvl w:val="0"/>
          <w:numId w:val="2"/>
        </w:numPr>
        <w:spacing w:before="20" w:after="20"/>
      </w:pPr>
      <w:r>
        <w:rPr>
          <w:rFonts w:ascii="Calibri" w:cs="Calibri" w:eastAsia="Calibri" w:hAnsi="Calibri"/>
          <w:sz w:val="20"/>
          <w:szCs w:val="20"/>
        </w:rPr>
        <w:t xml:space="preserve">Built multi-agent Plan-and-Execute architectures, Router Agents, MCP server integrations, HITL checkpoints, semantic caching, shadow deployment pipelines, and LLM evaluation frameworks for HPE’s enterprise AI platform co-engineered with NVIDIA.</w:t>
      </w:r>
    </w:p>
    <w:p>
      <w:pPr>
        <w:tabs>
          <w:tab w:val="right" w:pos="9026"/>
        </w:tabs>
        <w:spacing w:before="80" w:after="10"/>
      </w:pPr>
      <w:r>
        <w:rPr>
          <w:rFonts w:ascii="Calibri" w:cs="Calibri" w:eastAsia="Calibri" w:hAnsi="Calibri"/>
          <w:b/>
          <w:bCs/>
          <w:sz w:val="20"/>
          <w:szCs w:val="20"/>
        </w:rPr>
        <w:t xml:space="preserve">HPE Ezmeral Unified Analytics &amp; Data Fabric</w:t>
      </w:r>
      <w:r>
        <w:rPr>
          <w:rFonts w:ascii="Calibri" w:cs="Calibri" w:eastAsia="Calibri" w:hAnsi="Calibri"/>
          <w:sz w:val="20"/>
          <w:szCs w:val="20"/>
        </w:rPr>
        <w:t xml:space="preserve"> | </w:t>
      </w:r>
      <w:hyperlink w:history="1" r:id="rIdtxyocssuzh1wvigw70eun">
        <w:r>
          <w:rPr>
            <w:rStyle w:val="Hyperlink"/>
            <w:rFonts w:ascii="Calibri" w:cs="Calibri" w:eastAsia="Calibri" w:hAnsi="Calibri"/>
            <w:sz w:val="20"/>
            <w:szCs w:val="20"/>
          </w:rPr>
          <w:t xml:space="preserve">Product</w:t>
        </w:r>
      </w:hyperlink>
      <w:r>
        <w:rPr>
          <w:rFonts w:ascii="Calibri" w:cs="Calibri" w:eastAsia="Calibri" w:hAnsi="Calibri"/>
          <w:sz w:val="20"/>
          <w:szCs w:val="20"/>
        </w:rPr>
        <w:t xml:space="preserve">	2023 – 2024</w:t>
      </w:r>
    </w:p>
    <w:p>
      <w:pPr>
        <w:spacing w:before="0" w:after="20"/>
      </w:pPr>
      <w:r>
        <w:rPr>
          <w:rFonts w:ascii="Calibri" w:cs="Calibri" w:eastAsia="Calibri" w:hAnsi="Calibri"/>
          <w:i/>
          <w:iCs/>
          <w:sz w:val="18"/>
          <w:szCs w:val="18"/>
        </w:rPr>
        <w:t xml:space="preserve">Apache Spark, Kafka, MirrorMaker 2.0, Kubernetes, Kubeflow, MLFlow, spaCy, Keras, Bi-LSTM, Transformers, Redis, Postgres, PyTorch, Docker</w:t>
      </w:r>
    </w:p>
    <w:p>
      <w:pPr>
        <w:pStyle w:val="ListParagraph"/>
        <w:numPr>
          <w:ilvl w:val="0"/>
          <w:numId w:val="2"/>
        </w:numPr>
        <w:spacing w:before="20" w:after="20"/>
      </w:pPr>
      <w:r>
        <w:rPr>
          <w:rFonts w:ascii="Calibri" w:cs="Calibri" w:eastAsia="Calibri" w:hAnsi="Calibri"/>
          <w:sz w:val="20"/>
          <w:szCs w:val="20"/>
        </w:rPr>
        <w:t xml:space="preserve">Fine-tuned LLMs with QLoRA on HPE ProLiant GPU clusters, built multi-region Kafka replication, NER pipelines, multi-agent memory systems, and multi-LoRA inference serving across HPE’s Kubernetes-based ML platform.</w:t>
      </w:r>
    </w:p>
    <w:p>
      <w:pPr>
        <w:tabs>
          <w:tab w:val="right" w:pos="9026"/>
        </w:tabs>
        <w:spacing w:before="80" w:after="10"/>
      </w:pPr>
      <w:r>
        <w:rPr>
          <w:rFonts w:ascii="Calibri" w:cs="Calibri" w:eastAsia="Calibri" w:hAnsi="Calibri"/>
          <w:b/>
          <w:bCs/>
          <w:sz w:val="20"/>
          <w:szCs w:val="20"/>
        </w:rPr>
        <w:t xml:space="preserve">HPE GreenLake Cloud Platform &amp; OpsRamp AIOps</w:t>
      </w:r>
      <w:r>
        <w:rPr>
          <w:rFonts w:ascii="Calibri" w:cs="Calibri" w:eastAsia="Calibri" w:hAnsi="Calibri"/>
          <w:sz w:val="20"/>
          <w:szCs w:val="20"/>
        </w:rPr>
        <w:t xml:space="preserve"> | </w:t>
      </w:r>
      <w:hyperlink w:history="1" r:id="rIdu58ntbteuhvwyuwu-yvsa">
        <w:r>
          <w:rPr>
            <w:rStyle w:val="Hyperlink"/>
            <w:rFonts w:ascii="Calibri" w:cs="Calibri" w:eastAsia="Calibri" w:hAnsi="Calibri"/>
            <w:sz w:val="20"/>
            <w:szCs w:val="20"/>
          </w:rPr>
          <w:t xml:space="preserve">Product</w:t>
        </w:r>
      </w:hyperlink>
      <w:r>
        <w:rPr>
          <w:rFonts w:ascii="Calibri" w:cs="Calibri" w:eastAsia="Calibri" w:hAnsi="Calibri"/>
          <w:sz w:val="20"/>
          <w:szCs w:val="20"/>
        </w:rPr>
        <w:t xml:space="preserve">	2023 – 2025</w:t>
      </w:r>
    </w:p>
    <w:p>
      <w:pPr>
        <w:spacing w:before="0" w:after="20"/>
      </w:pPr>
      <w:r>
        <w:rPr>
          <w:rFonts w:ascii="Calibri" w:cs="Calibri" w:eastAsia="Calibri" w:hAnsi="Calibri"/>
          <w:i/>
          <w:iCs/>
          <w:sz w:val="18"/>
          <w:szCs w:val="18"/>
        </w:rPr>
        <w:t xml:space="preserve">Django, FastAPI, asyncio, Docker, Kubernetes, Celery, Redis, Azure Data Factory, MCP, Agentic AI, Python Multiprocessing, WebSocket, Microservices</w:t>
      </w:r>
    </w:p>
    <w:p>
      <w:pPr>
        <w:pStyle w:val="ListParagraph"/>
        <w:numPr>
          <w:ilvl w:val="0"/>
          <w:numId w:val="2"/>
        </w:numPr>
        <w:spacing w:before="20" w:after="20"/>
      </w:pPr>
      <w:r>
        <w:rPr>
          <w:rFonts w:ascii="Calibri" w:cs="Calibri" w:eastAsia="Calibri" w:hAnsi="Calibri"/>
          <w:sz w:val="20"/>
          <w:szCs w:val="20"/>
        </w:rPr>
        <w:t xml:space="preserve">Migrated monolithic services to microservices, built high-concurrency event-driven APIs, MCP-compliant tool registries, SQL-generating agents for AIOps, and resolved GIL/integration bottlenecks for HPE’s hybrid cloud platform.</w:t>
      </w:r>
    </w:p>
    <w:p>
      <w:pPr>
        <w:tabs>
          <w:tab w:val="right" w:pos="9026"/>
        </w:tabs>
        <w:spacing w:before="80" w:after="10"/>
      </w:pPr>
      <w:r>
        <w:rPr>
          <w:rFonts w:ascii="Calibri" w:cs="Calibri" w:eastAsia="Calibri" w:hAnsi="Calibri"/>
          <w:b/>
          <w:bCs/>
          <w:sz w:val="20"/>
          <w:szCs w:val="20"/>
        </w:rPr>
        <w:t xml:space="preserve">Adobe Experience Platform Pipeline &amp; Sensei ML</w:t>
      </w:r>
      <w:r>
        <w:rPr>
          <w:rFonts w:ascii="Calibri" w:cs="Calibri" w:eastAsia="Calibri" w:hAnsi="Calibri"/>
          <w:sz w:val="20"/>
          <w:szCs w:val="20"/>
        </w:rPr>
        <w:t xml:space="preserve"> | </w:t>
      </w:r>
      <w:hyperlink w:history="1" r:id="rIdjqpf59jzd8dbzgfcuvond">
        <w:r>
          <w:rPr>
            <w:rStyle w:val="Hyperlink"/>
            <w:rFonts w:ascii="Calibri" w:cs="Calibri" w:eastAsia="Calibri" w:hAnsi="Calibri"/>
            <w:sz w:val="20"/>
            <w:szCs w:val="20"/>
          </w:rPr>
          <w:t xml:space="preserve">Product</w:t>
        </w:r>
      </w:hyperlink>
      <w:r>
        <w:rPr>
          <w:rFonts w:ascii="Calibri" w:cs="Calibri" w:eastAsia="Calibri" w:hAnsi="Calibri"/>
          <w:sz w:val="20"/>
          <w:szCs w:val="20"/>
        </w:rPr>
        <w:t xml:space="preserve">	2019 – 2023</w:t>
      </w:r>
    </w:p>
    <w:p>
      <w:pPr>
        <w:spacing w:before="0" w:after="20"/>
      </w:pPr>
      <w:r>
        <w:rPr>
          <w:rFonts w:ascii="Calibri" w:cs="Calibri" w:eastAsia="Calibri" w:hAnsi="Calibri"/>
          <w:i/>
          <w:iCs/>
          <w:sz w:val="18"/>
          <w:szCs w:val="18"/>
        </w:rPr>
        <w:t xml:space="preserve">Apache Spark, Kafka, Debezium CDC, Delta Lake, Pinecone, Elasticsearch, Redis, Grafana, Prometheus, Great Expectations, SDV, GPT-3.5, NVIDIA A100, GDPR, CCPA</w:t>
      </w:r>
    </w:p>
    <w:p>
      <w:pPr>
        <w:pStyle w:val="ListParagraph"/>
        <w:numPr>
          <w:ilvl w:val="0"/>
          <w:numId w:val="2"/>
        </w:numPr>
        <w:spacing w:before="20" w:after="20"/>
      </w:pPr>
      <w:r>
        <w:rPr>
          <w:rFonts w:ascii="Calibri" w:cs="Calibri" w:eastAsia="Calibri" w:hAnsi="Calibri"/>
          <w:sz w:val="20"/>
          <w:szCs w:val="20"/>
        </w:rPr>
        <w:t xml:space="preserve">Built high-throughput ETL/search pipelines, CDC-based vector sync, embedding drift management, synthetic data generation, inference optimization, and A/B testing frameworks for Adobe’s globally distributed AI platform.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Hyperlink">
    <w:name w:val="Hyperlink"/>
    <w:uiPriority w:val="99"/>
    <w:unhideWhenUsed/>
    <w:rPr>
      <w:color w:val="0563C1"/>
      <w:u w:val="single"/>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aoxmoecfyqgosnmsvcqty" Type="http://schemas.openxmlformats.org/officeDocument/2006/relationships/hyperlink" Target="https://www.linkedin.com/in/taj-khunkhun-a46972339" TargetMode="External"/><Relationship Id="rIdhimlfhdcrw7fwxxvxqurq" Type="http://schemas.openxmlformats.org/officeDocument/2006/relationships/hyperlink" Target="https://tajkhunkhun.com/" TargetMode="External"/><Relationship Id="rIdfr7nowexdmlsslra9taxj" Type="http://schemas.openxmlformats.org/officeDocument/2006/relationships/hyperlink" Target="https://www.hpe.com/us/en/private-cloud-ai.html" TargetMode="External"/><Relationship Id="rIdlwyj-rsp83ldxb0efy1bm" Type="http://schemas.openxmlformats.org/officeDocument/2006/relationships/hyperlink" Target="https://developer.hpe.com/platform/hpe-ezmeral/home/" TargetMode="External"/><Relationship Id="rIdchtd86olg4pft-lg-pm4p" Type="http://schemas.openxmlformats.org/officeDocument/2006/relationships/hyperlink" Target="https://www.hpe.com/us/en/greenlake.html" TargetMode="External"/><Relationship Id="rIdlu_iv0pwrb9dkgo2nueg5" Type="http://schemas.openxmlformats.org/officeDocument/2006/relationships/hyperlink" Target="https://experience.adobe.com/" TargetMode="External"/><Relationship Id="rId3xqe6tbwbr6yfv9rzavo-" Type="http://schemas.openxmlformats.org/officeDocument/2006/relationships/hyperlink" Target="https://experience.adobe.com/" TargetMode="External"/><Relationship Id="rIdkmcqgpz69ugumdujghvea" Type="http://schemas.openxmlformats.org/officeDocument/2006/relationships/hyperlink" Target="https://www.lextarai.com/" TargetMode="External"/><Relationship Id="rId2ltv8oxdgbnwbjoe0vhfb" Type="http://schemas.openxmlformats.org/officeDocument/2006/relationships/hyperlink" Target="https://www.hpe.com/us/en/private-cloud-ai.html" TargetMode="External"/><Relationship Id="rIdtxyocssuzh1wvigw70eun" Type="http://schemas.openxmlformats.org/officeDocument/2006/relationships/hyperlink" Target="https://developer.hpe.com/platform/hpe-ezmeral/home/" TargetMode="External"/><Relationship Id="rIdu58ntbteuhvwyuwu-yvsa" Type="http://schemas.openxmlformats.org/officeDocument/2006/relationships/hyperlink" Target="https://www.hpe.com/us/en/greenlake.html" TargetMode="External"/><Relationship Id="rIdjqpf59jzd8dbzgfcuvond" Type="http://schemas.openxmlformats.org/officeDocument/2006/relationships/hyperlink" Target="https://experience.adobe.com/" TargetMode="External"/><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2026-03-26T20:18:21.593Z</dcterms:created>
  <dcterms:modified xsi:type="dcterms:W3CDTF">2026-03-26T20:18:21.594Z</dcterms:modified>
</cp:coreProperties>
</file>

<file path=docProps/custom.xml><?xml version="1.0" encoding="utf-8"?>
<Properties xmlns="http://schemas.openxmlformats.org/officeDocument/2006/custom-properties" xmlns:vt="http://schemas.openxmlformats.org/officeDocument/2006/docPropsVTypes"/>
</file>